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2DD29881" w:rsidR="00204858" w:rsidRDefault="00CE1306" w:rsidP="00EC3656">
      <w:r w:rsidRPr="00CA477F">
        <w:t xml:space="preserve">Il sottoscritto </w:t>
      </w:r>
      <w:r w:rsidR="00796BF9">
        <w:t>Mariano Rabino</w:t>
      </w:r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21910694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Pr="00C866C8">
        <w:t xml:space="preserve">Presidente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1609E757" w:rsidR="00577262" w:rsidRPr="00577262" w:rsidRDefault="00577262" w:rsidP="00577262">
      <w:r w:rsidRPr="00577262">
        <w:t>Alba, 12.05.202</w:t>
      </w:r>
      <w:r w:rsidR="007025BF">
        <w:t>2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66EB3DD6" w:rsidR="00577262" w:rsidRDefault="00577262" w:rsidP="00153D58">
      <w:pPr>
        <w:ind w:left="5878" w:firstLine="602"/>
        <w:jc w:val="center"/>
      </w:pPr>
      <w:r w:rsidRPr="00577262">
        <w:t>f.to Mariano Rabino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53D58"/>
    <w:rsid w:val="0017524F"/>
    <w:rsid w:val="001B0075"/>
    <w:rsid w:val="00204858"/>
    <w:rsid w:val="0024237C"/>
    <w:rsid w:val="00322958"/>
    <w:rsid w:val="00394BAE"/>
    <w:rsid w:val="003D19F0"/>
    <w:rsid w:val="004F5EEC"/>
    <w:rsid w:val="00577262"/>
    <w:rsid w:val="00680B61"/>
    <w:rsid w:val="006A208A"/>
    <w:rsid w:val="007025BF"/>
    <w:rsid w:val="00770550"/>
    <w:rsid w:val="00795DE2"/>
    <w:rsid w:val="00796881"/>
    <w:rsid w:val="00796BF9"/>
    <w:rsid w:val="00873CBA"/>
    <w:rsid w:val="008A71A5"/>
    <w:rsid w:val="008E1DF9"/>
    <w:rsid w:val="00933CE1"/>
    <w:rsid w:val="00972C10"/>
    <w:rsid w:val="00986000"/>
    <w:rsid w:val="00A02E77"/>
    <w:rsid w:val="00A25CD9"/>
    <w:rsid w:val="00A26B86"/>
    <w:rsid w:val="00AC2F99"/>
    <w:rsid w:val="00AF1F2B"/>
    <w:rsid w:val="00B66F36"/>
    <w:rsid w:val="00B84873"/>
    <w:rsid w:val="00C866C8"/>
    <w:rsid w:val="00CA477F"/>
    <w:rsid w:val="00CE1306"/>
    <w:rsid w:val="00DF50FD"/>
    <w:rsid w:val="00E76B37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2024-09-27T09:35:00Z</dcterms:created>
  <dcterms:modified xsi:type="dcterms:W3CDTF">2024-09-27T09:35:00Z</dcterms:modified>
</cp:coreProperties>
</file>